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09" w:rsidRDefault="00BD4609" w:rsidP="00E430EB">
      <w:pPr>
        <w:pStyle w:val="11"/>
        <w:ind w:left="0"/>
        <w:contextualSpacing/>
      </w:pPr>
      <w:bookmarkStart w:id="0" w:name="_GoBack"/>
      <w:bookmarkEnd w:id="0"/>
    </w:p>
    <w:p w:rsidR="00F75F8E" w:rsidRDefault="00D45F13">
      <w:pPr>
        <w:pStyle w:val="11"/>
        <w:ind w:left="0"/>
        <w:contextualSpacing/>
        <w:jc w:val="center"/>
      </w:pPr>
      <w:r>
        <w:t xml:space="preserve">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7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</w:t>
      </w:r>
      <w:r>
        <w:lastRenderedPageBreak/>
        <w:t>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4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левом блоке можно </w:t>
      </w:r>
      <w:r w:rsidR="00D61ADF">
        <w:t>уточнить запрос и сузить выдачу</w:t>
      </w:r>
    </w:p>
    <w:p w:rsidR="00F75F8E" w:rsidRDefault="00F75F8E" w:rsidP="00D61ADF">
      <w:pPr>
        <w:pStyle w:val="11"/>
        <w:tabs>
          <w:tab w:val="left" w:pos="1650"/>
        </w:tabs>
        <w:ind w:left="0"/>
        <w:contextualSpacing/>
        <w:rPr>
          <w:sz w:val="20"/>
        </w:rPr>
      </w:pPr>
    </w:p>
    <w:sectPr w:rsidR="00F75F8E" w:rsidSect="00F75F8E">
      <w:footerReference w:type="default" r:id="rId4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121" w:rsidRDefault="00512121" w:rsidP="00F75F8E">
      <w:r>
        <w:separator/>
      </w:r>
    </w:p>
  </w:endnote>
  <w:endnote w:type="continuationSeparator" w:id="0">
    <w:p w:rsidR="00512121" w:rsidRDefault="0051212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430EB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430EB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121" w:rsidRDefault="00512121" w:rsidP="00F75F8E">
      <w:r>
        <w:separator/>
      </w:r>
    </w:p>
  </w:footnote>
  <w:footnote w:type="continuationSeparator" w:id="0">
    <w:p w:rsidR="00512121" w:rsidRDefault="0051212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127090"/>
    <w:rsid w:val="00512121"/>
    <w:rsid w:val="00AC00E4"/>
    <w:rsid w:val="00BD4609"/>
    <w:rsid w:val="00CF43BD"/>
    <w:rsid w:val="00D45F13"/>
    <w:rsid w:val="00D61ADF"/>
    <w:rsid w:val="00E430EB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6D0C"/>
  <w15:docId w15:val="{B49CF602-2068-4036-AB1E-8726D3D2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камаля</cp:lastModifiedBy>
  <cp:revision>122</cp:revision>
  <dcterms:created xsi:type="dcterms:W3CDTF">2020-04-02T08:37:00Z</dcterms:created>
  <dcterms:modified xsi:type="dcterms:W3CDTF">2020-04-10T12:24:00Z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